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098"/>
        <w:gridCol w:w="100"/>
        <w:gridCol w:w="8"/>
      </w:tblGrid>
      <w:tr w:rsidR="006D38E2" w14:paraId="6D8E2970" w14:textId="77777777" w:rsidTr="00BE3234">
        <w:trPr>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BE3234">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58620B3" w:rsidR="00A70556" w:rsidRDefault="00A70556" w:rsidP="0034573D">
            <w:pPr>
              <w:spacing w:after="0" w:line="276" w:lineRule="auto"/>
            </w:pPr>
            <w:r w:rsidRPr="009C2562">
              <w:t xml:space="preserve">Evaluación </w:t>
            </w:r>
            <w:r w:rsidR="0034573D">
              <w:t>interna de Consistencia y Resultados (</w:t>
            </w:r>
            <w:proofErr w:type="spellStart"/>
            <w:r w:rsidR="0034573D">
              <w:t>ECyR</w:t>
            </w:r>
            <w:proofErr w:type="spellEnd"/>
            <w:r w:rsidR="0034573D">
              <w:t>)</w:t>
            </w:r>
          </w:p>
        </w:tc>
      </w:tr>
      <w:tr w:rsidR="005609DA" w:rsidRPr="00A70556" w14:paraId="48AACCCA" w14:textId="77777777" w:rsidTr="0028596D">
        <w:trPr>
          <w:gridAfter w:val="2"/>
          <w:wAfter w:w="108" w:type="dxa"/>
          <w:trHeight w:val="340"/>
        </w:trPr>
        <w:tc>
          <w:tcPr>
            <w:tcW w:w="4712" w:type="dxa"/>
            <w:gridSpan w:val="2"/>
            <w:shd w:val="clear" w:color="auto" w:fill="F2F2F2" w:themeFill="background1" w:themeFillShade="F2"/>
            <w:vAlign w:val="center"/>
          </w:tcPr>
          <w:p w14:paraId="1E1DAD51" w14:textId="77777777" w:rsidR="005609DA" w:rsidRPr="00A70556" w:rsidRDefault="005609DA" w:rsidP="0028596D">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738ECF12" w14:textId="77777777" w:rsidR="005609DA" w:rsidRPr="00A70556" w:rsidRDefault="005609DA" w:rsidP="0028596D">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5609DA" w14:paraId="1AE2A893" w14:textId="77777777" w:rsidTr="0028596D">
        <w:trPr>
          <w:gridAfter w:val="2"/>
          <w:wAfter w:w="108" w:type="dxa"/>
          <w:trHeight w:val="340"/>
        </w:trPr>
        <w:tc>
          <w:tcPr>
            <w:tcW w:w="4712" w:type="dxa"/>
            <w:gridSpan w:val="2"/>
            <w:shd w:val="clear" w:color="auto" w:fill="auto"/>
            <w:vAlign w:val="center"/>
          </w:tcPr>
          <w:p w14:paraId="5B7F46E9" w14:textId="77777777" w:rsidR="005609DA" w:rsidRPr="00C0530C" w:rsidRDefault="005609DA" w:rsidP="0028596D">
            <w:pPr>
              <w:spacing w:after="0" w:line="276" w:lineRule="auto"/>
              <w:jc w:val="center"/>
              <w:rPr>
                <w:b/>
                <w:bCs/>
              </w:rPr>
            </w:pPr>
            <w:r w:rsidRPr="00C0530C">
              <w:t>12/08/2022</w:t>
            </w:r>
          </w:p>
        </w:tc>
        <w:tc>
          <w:tcPr>
            <w:tcW w:w="5098" w:type="dxa"/>
            <w:shd w:val="clear" w:color="auto" w:fill="auto"/>
            <w:vAlign w:val="center"/>
          </w:tcPr>
          <w:p w14:paraId="3CD03734" w14:textId="77777777" w:rsidR="005609DA" w:rsidRPr="00A70556" w:rsidRDefault="005609DA" w:rsidP="0028596D">
            <w:pPr>
              <w:spacing w:after="0" w:line="276" w:lineRule="auto"/>
              <w:jc w:val="center"/>
              <w:rPr>
                <w:b/>
                <w:bCs/>
              </w:rPr>
            </w:pPr>
            <w:r w:rsidRPr="00C0530C">
              <w:t>30/11/2022</w:t>
            </w:r>
          </w:p>
        </w:tc>
      </w:tr>
      <w:tr w:rsidR="00A70556" w14:paraId="6B7EC127" w14:textId="77777777" w:rsidTr="00BE3234">
        <w:trPr>
          <w:trHeight w:val="340"/>
        </w:trPr>
        <w:tc>
          <w:tcPr>
            <w:tcW w:w="9918" w:type="dxa"/>
            <w:gridSpan w:val="5"/>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14:paraId="37454C6A" w14:textId="77777777" w:rsidTr="00BE3234">
        <w:trPr>
          <w:trHeight w:val="340"/>
        </w:trPr>
        <w:tc>
          <w:tcPr>
            <w:tcW w:w="9918" w:type="dxa"/>
            <w:gridSpan w:val="5"/>
            <w:shd w:val="clear" w:color="auto" w:fill="auto"/>
            <w:vAlign w:val="center"/>
          </w:tcPr>
          <w:p w14:paraId="78C4F704" w14:textId="312F9BF3" w:rsidR="00A70556" w:rsidRPr="00581B4A" w:rsidRDefault="00A165BB" w:rsidP="00521401">
            <w:pPr>
              <w:pStyle w:val="Prrafodelista"/>
              <w:spacing w:after="0" w:line="276" w:lineRule="auto"/>
              <w:ind w:left="37"/>
              <w:jc w:val="both"/>
              <w:rPr>
                <w:b/>
                <w:bCs/>
              </w:rPr>
            </w:pPr>
            <w:r w:rsidRPr="0008479E">
              <w:t xml:space="preserve">Dr. Gerardo Kenny </w:t>
            </w:r>
            <w:proofErr w:type="spellStart"/>
            <w:r w:rsidRPr="0008479E">
              <w:t>Inzunza</w:t>
            </w:r>
            <w:proofErr w:type="spellEnd"/>
            <w:r w:rsidRPr="0008479E">
              <w:t xml:space="preserve"> Leyva</w:t>
            </w:r>
            <w:r w:rsidR="00A70556" w:rsidRPr="0008479E">
              <w:t xml:space="preserve">, </w:t>
            </w:r>
            <w:r w:rsidRPr="0008479E">
              <w:t>Dirección de Prevención y Promoción a la Salud de los Servicios de Salud de Sinaloa</w:t>
            </w:r>
          </w:p>
        </w:tc>
      </w:tr>
      <w:tr w:rsidR="00A70556" w14:paraId="79DD6CAD" w14:textId="77777777" w:rsidTr="00BE3234">
        <w:trPr>
          <w:gridAfter w:val="1"/>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1FCF47AB" w:rsidR="00B920F2" w:rsidRDefault="0034573D" w:rsidP="00521401">
      <w:pPr>
        <w:pStyle w:val="Prrafodelista"/>
        <w:spacing w:after="0" w:line="276" w:lineRule="auto"/>
        <w:ind w:left="142"/>
        <w:jc w:val="both"/>
      </w:pPr>
      <w:r w:rsidRPr="000F3F9D">
        <w:t>Evaluar la consistencia y orientación a resultados</w:t>
      </w:r>
      <w:r>
        <w:t xml:space="preserve"> del programa </w:t>
      </w:r>
      <w:r w:rsidR="000D5BE3">
        <w:rPr>
          <w:b/>
        </w:rPr>
        <w:t>Infancia</w:t>
      </w:r>
      <w:r w:rsidRPr="000F3F9D">
        <w:t xml:space="preserve"> en su ejercicio fiscal 2021, con la finalidad de proveer información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D7B90A4" w14:textId="77777777" w:rsidR="0034573D" w:rsidRDefault="0034573D" w:rsidP="0034573D">
      <w:pPr>
        <w:pStyle w:val="Prrafodelista"/>
        <w:numPr>
          <w:ilvl w:val="0"/>
          <w:numId w:val="2"/>
        </w:numPr>
        <w:spacing w:after="0" w:line="276" w:lineRule="auto"/>
        <w:jc w:val="both"/>
      </w:pPr>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14:paraId="6868D325" w14:textId="77777777" w:rsidR="0034573D" w:rsidRDefault="0034573D" w:rsidP="0034573D">
      <w:pPr>
        <w:pStyle w:val="Prrafodelista"/>
        <w:numPr>
          <w:ilvl w:val="0"/>
          <w:numId w:val="2"/>
        </w:numPr>
        <w:spacing w:after="0" w:line="276" w:lineRule="auto"/>
        <w:jc w:val="both"/>
      </w:pPr>
      <w:r>
        <w:t>Identificar si el programa cuenta con instrumentos de planeación y orientación hacia resultados.</w:t>
      </w:r>
    </w:p>
    <w:p w14:paraId="18791E0B" w14:textId="77777777" w:rsidR="0034573D" w:rsidRDefault="0034573D" w:rsidP="0034573D">
      <w:pPr>
        <w:pStyle w:val="Prrafodelista"/>
        <w:numPr>
          <w:ilvl w:val="0"/>
          <w:numId w:val="2"/>
        </w:numPr>
        <w:spacing w:after="0" w:line="276" w:lineRule="auto"/>
        <w:jc w:val="both"/>
      </w:pPr>
      <w:r>
        <w:t>Examinar si el programa ha definido una estrategia de cobertura de mediano y de largo plazo y los avances presentados en el ejercicio fiscal evaluado.</w:t>
      </w:r>
    </w:p>
    <w:p w14:paraId="7982392D" w14:textId="77777777" w:rsidR="0034573D" w:rsidRDefault="0034573D" w:rsidP="0034573D">
      <w:pPr>
        <w:pStyle w:val="Prrafodelista"/>
        <w:numPr>
          <w:ilvl w:val="0"/>
          <w:numId w:val="2"/>
        </w:numPr>
        <w:spacing w:after="0" w:line="276" w:lineRule="auto"/>
        <w:jc w:val="both"/>
      </w:pPr>
      <w:r>
        <w:t>Analizar los principales procesos establecidos en las ROP o en la normatividad aplicable; así como los sistemas de información con los que cuenta el programa y sus mecanismos de rendición de cuentas.</w:t>
      </w:r>
    </w:p>
    <w:p w14:paraId="13D8617F" w14:textId="77777777" w:rsidR="0034573D" w:rsidRDefault="0034573D" w:rsidP="0034573D">
      <w:pPr>
        <w:pStyle w:val="Prrafodelista"/>
        <w:numPr>
          <w:ilvl w:val="0"/>
          <w:numId w:val="2"/>
        </w:numPr>
        <w:spacing w:after="0" w:line="276" w:lineRule="auto"/>
        <w:jc w:val="both"/>
      </w:pPr>
      <w:r>
        <w:t>Identificar si el programa cuenta con instrumentos que le permitan recabar información para medir el grado de satisfacción de los beneficiarios del programa y sus resultados.</w:t>
      </w:r>
    </w:p>
    <w:p w14:paraId="2CCD5C65" w14:textId="6F20F936" w:rsidR="009B7088" w:rsidRDefault="0034573D" w:rsidP="0034573D">
      <w:pPr>
        <w:pStyle w:val="Prrafodelista"/>
        <w:numPr>
          <w:ilvl w:val="0"/>
          <w:numId w:val="2"/>
        </w:numPr>
        <w:spacing w:after="0" w:line="276" w:lineRule="auto"/>
        <w:jc w:val="both"/>
      </w:pPr>
      <w:r>
        <w:t>Examinar los resultados del programa respecto a la atención del problema para el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8B80E14" w:rsidR="00581B4A" w:rsidRPr="00581B4A" w:rsidRDefault="0034573D" w:rsidP="00090637">
            <w:pPr>
              <w:spacing w:after="0" w:line="276" w:lineRule="auto"/>
              <w:jc w:val="center"/>
              <w:rPr>
                <w:b/>
                <w:bCs/>
              </w:rPr>
            </w:pPr>
            <w:r>
              <w:t>De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w:t>
      </w:r>
      <w:proofErr w:type="spellStart"/>
      <w:r>
        <w:t>TdR</w:t>
      </w:r>
      <w:proofErr w:type="spellEnd"/>
      <w:r>
        <w:t xml:space="preserve"> aplicados.</w:t>
      </w:r>
    </w:p>
    <w:p w14:paraId="385076F0" w14:textId="77777777" w:rsidR="006D38E2" w:rsidRDefault="006D38E2" w:rsidP="006F4B1F">
      <w:pPr>
        <w:pStyle w:val="Prrafodelista"/>
        <w:numPr>
          <w:ilvl w:val="0"/>
          <w:numId w:val="3"/>
        </w:numPr>
        <w:spacing w:after="0" w:line="276" w:lineRule="auto"/>
        <w:ind w:left="567" w:hanging="219"/>
        <w:jc w:val="both"/>
        <w:sectPr w:rsidR="006D38E2"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6F4B1F">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50B373B3" w14:textId="1D267D70" w:rsidR="00B21AD7" w:rsidRDefault="00B21AD7" w:rsidP="00B21AD7">
      <w:pPr>
        <w:spacing w:line="276" w:lineRule="auto"/>
        <w:ind w:left="708"/>
        <w:jc w:val="both"/>
      </w:pPr>
      <w:r>
        <w:t>El programa Infancia es operado por los SSS e inició sus operaciones en el año 1997. El problema público de dicho programa es la mortalidad en menores de 5 años, asimismo se pretende contribuir a que la población sinaloense menor de 5 años mantenga una tasa de mortalidad menor a la media nacional, lo anterior, mediante acciones de prevención en los niños y niñas.</w:t>
      </w:r>
    </w:p>
    <w:p w14:paraId="6B2F1DCC" w14:textId="621553DC" w:rsidR="00185FFE" w:rsidRDefault="00B21AD7" w:rsidP="00B21AD7">
      <w:pPr>
        <w:spacing w:line="276" w:lineRule="auto"/>
        <w:ind w:left="708"/>
        <w:jc w:val="both"/>
      </w:pPr>
      <w:r>
        <w:t>A través de estos objetivos el programa se encuentra alineado al PED Sinaloa 2017 – 2021, dentro del Eje estratégico II, “</w:t>
      </w:r>
      <w:r w:rsidRPr="00440C0D">
        <w:rPr>
          <w:i/>
        </w:rPr>
        <w:t>Desarrollo humano y social</w:t>
      </w:r>
      <w:r>
        <w:t>”, tema 4 “</w:t>
      </w:r>
      <w:r w:rsidRPr="00440C0D">
        <w:rPr>
          <w:i/>
        </w:rPr>
        <w:t>Por un entorno y sociedad saludable</w:t>
      </w:r>
      <w:r>
        <w:t>”.</w:t>
      </w:r>
    </w:p>
    <w:p w14:paraId="1AD24423" w14:textId="77777777" w:rsidR="00B21AD7" w:rsidRPr="006815E6" w:rsidRDefault="00B21AD7" w:rsidP="00B21AD7">
      <w:pPr>
        <w:spacing w:line="276" w:lineRule="auto"/>
        <w:ind w:left="708"/>
      </w:pPr>
      <w:r>
        <w:t>Además</w:t>
      </w:r>
      <w:r w:rsidRPr="006815E6">
        <w:t>, en el PSS</w:t>
      </w:r>
      <w:r>
        <w:t xml:space="preserve"> </w:t>
      </w:r>
      <w:r w:rsidRPr="006815E6">
        <w:t>2020 – 2024 derivado del PND 2019 – 2024, se establece el objetivo prioritario 5 “</w:t>
      </w:r>
      <w:r w:rsidRPr="006815E6">
        <w:rPr>
          <w:i/>
        </w:rPr>
        <w:t>Mejorar la protección de la salud bajo un enfoque integral que priorice la prevención y sensibilización de los riesgos para la salud y el oportuno tratamiento y control de enfermedades, especialmente, las que representan el mayor impacto en la mortalidad de la población</w:t>
      </w:r>
      <w:r w:rsidRPr="006815E6">
        <w:t>”</w:t>
      </w:r>
      <w:r>
        <w:t xml:space="preserve"> y la estrategia prioritaria 5.4</w:t>
      </w:r>
      <w:r w:rsidRPr="006815E6">
        <w:t xml:space="preserve"> “</w:t>
      </w:r>
      <w:r w:rsidRPr="008F0CC7">
        <w:rPr>
          <w:i/>
        </w:rPr>
        <w:t>Mejorar los servicios de salud y asistencia social para procurar el desarrollo bajo un enfoque</w:t>
      </w:r>
      <w:r>
        <w:rPr>
          <w:i/>
        </w:rPr>
        <w:t xml:space="preserve"> </w:t>
      </w:r>
      <w:r w:rsidRPr="008F0CC7">
        <w:rPr>
          <w:i/>
        </w:rPr>
        <w:t>integral y diferenciado de niñas, niños, adolescentes y jóvenes desde una perspectiva de derechos e igualdad de género.</w:t>
      </w:r>
      <w:r w:rsidRPr="006815E6">
        <w:t>”.</w:t>
      </w:r>
    </w:p>
    <w:p w14:paraId="2E92DB1E" w14:textId="6E583806" w:rsidR="00B21AD7" w:rsidRDefault="00B21AD7" w:rsidP="00B21AD7">
      <w:pPr>
        <w:spacing w:line="276" w:lineRule="auto"/>
        <w:ind w:left="708"/>
      </w:pPr>
      <w:r>
        <w:t>Infancia</w:t>
      </w:r>
      <w:r w:rsidRPr="006815E6">
        <w:t xml:space="preserve"> se encuentra contemplad</w:t>
      </w:r>
      <w:r>
        <w:t>a</w:t>
      </w:r>
      <w:r w:rsidRPr="006815E6">
        <w:t xml:space="preserve"> dentro de los Objetivos del Desarrollo Sostenible y se identifica un vínculo importante que hay en las líneas de acción que atiende el programa con los objetivos y metas establecidos en los objetivos de Desarrollo Sostenible</w:t>
      </w:r>
      <w:r>
        <w:t>, como serían los siguientes:</w:t>
      </w:r>
    </w:p>
    <w:p w14:paraId="52ECCFAF" w14:textId="77777777" w:rsidR="00B21AD7" w:rsidRDefault="00B21AD7" w:rsidP="00B21AD7">
      <w:pPr>
        <w:pStyle w:val="Prrafodelista"/>
        <w:numPr>
          <w:ilvl w:val="0"/>
          <w:numId w:val="26"/>
        </w:numPr>
        <w:spacing w:after="200" w:line="276" w:lineRule="auto"/>
        <w:jc w:val="both"/>
      </w:pPr>
      <w:r>
        <w:t>O</w:t>
      </w:r>
      <w:r w:rsidRPr="006815E6">
        <w:t xml:space="preserve">bjetivo </w:t>
      </w:r>
      <w:r>
        <w:t xml:space="preserve">3. “Salud y bienestar”. </w:t>
      </w:r>
    </w:p>
    <w:p w14:paraId="5451B486" w14:textId="191D5260" w:rsidR="00B21AD7" w:rsidRDefault="00B21AD7" w:rsidP="00B21AD7">
      <w:pPr>
        <w:pStyle w:val="Prrafodelista"/>
        <w:numPr>
          <w:ilvl w:val="0"/>
          <w:numId w:val="26"/>
        </w:numPr>
        <w:spacing w:after="200" w:line="276" w:lineRule="auto"/>
        <w:jc w:val="both"/>
      </w:pPr>
      <w:r>
        <w:t>Objetivo específico 3.3</w:t>
      </w:r>
      <w:r w:rsidRPr="006815E6">
        <w:t xml:space="preserve"> “</w:t>
      </w:r>
      <w:r>
        <w:t>P</w:t>
      </w:r>
      <w:r w:rsidRPr="00241B02">
        <w:t>oner fin a las muertes evitables de recién nacidos y de niños menores de 5 años, logrando que todos los países intenten reducir la mortalidad neonatal al menos hasta 12 por cada 1.000 nacidos vivos, y la mortalidad de niños menores de 5 años al menos hasta 25 por cada 1.000 nacidos vivos</w:t>
      </w:r>
      <w:r w:rsidRPr="006815E6">
        <w:t>”.</w:t>
      </w:r>
    </w:p>
    <w:p w14:paraId="2295E34E" w14:textId="1D559DF9" w:rsidR="00B21AD7" w:rsidRDefault="00B21AD7" w:rsidP="00B21AD7">
      <w:pPr>
        <w:ind w:left="708"/>
      </w:pPr>
      <w:r>
        <w:t>Se cuenta con la NOM-031-SSA2-1999, para la atención a la salud del niño, se establecen los requisitos que deben seguirse para asegurar la atención integrada, el control, la eliminación y erradicación de las enfermedades evitables por vacunación; la prevención y el control de las enfermedades diarreicas, infecciones respiratorias agudas, vigilancia del estado de nutrición y crecimiento, y el desarrollo de los niños menores de 5 años.</w:t>
      </w:r>
    </w:p>
    <w:p w14:paraId="6B3DED64" w14:textId="262138BF" w:rsidR="00B21AD7" w:rsidRDefault="00B21AD7" w:rsidP="00B21AD7">
      <w:pPr>
        <w:ind w:left="708"/>
      </w:pPr>
      <w:r>
        <w:t>Y en la Ley General de Salud se establece el artículo 64 del Capítulo V “</w:t>
      </w:r>
      <w:r w:rsidRPr="00B21AD7">
        <w:rPr>
          <w:i/>
        </w:rPr>
        <w:t>Atención Materno-Infantil</w:t>
      </w:r>
      <w:r>
        <w:t>” en el que se indica que “</w:t>
      </w:r>
      <w:r w:rsidRPr="00B21AD7">
        <w:rPr>
          <w:i/>
        </w:rPr>
        <w:t>En la organización y operación de los servicios de salud destinados a la atención materno-infantil, las autoridades sanitarias competentes establecerán:</w:t>
      </w:r>
      <w:r>
        <w:t>”; y la Ley de Salud del Estado de Sinaloa, específicamente en el Capítulo II “</w:t>
      </w:r>
      <w:r w:rsidRPr="00B21AD7">
        <w:rPr>
          <w:i/>
        </w:rPr>
        <w:t>LA ATENCIÓN MATERNO-INFANTIL</w:t>
      </w:r>
      <w:r>
        <w:t>”, donde se estipula información referente a la infancia.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037CF0D0"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0DB64C27" w14:textId="56B262EB" w:rsidR="006174B7" w:rsidRDefault="006174B7" w:rsidP="00975299">
      <w:pPr>
        <w:pStyle w:val="Prrafodelista"/>
        <w:numPr>
          <w:ilvl w:val="2"/>
          <w:numId w:val="5"/>
        </w:numPr>
        <w:spacing w:after="0" w:line="276" w:lineRule="auto"/>
        <w:ind w:left="993" w:hanging="567"/>
        <w:jc w:val="both"/>
        <w:rPr>
          <w:b/>
          <w:bCs/>
        </w:rPr>
      </w:pPr>
      <w:r>
        <w:rPr>
          <w:b/>
          <w:bCs/>
        </w:rPr>
        <w:t>Fortalezas</w:t>
      </w:r>
    </w:p>
    <w:p w14:paraId="3401488E" w14:textId="77777777" w:rsidR="00B21AD7" w:rsidRDefault="00B21AD7" w:rsidP="00B21AD7">
      <w:pPr>
        <w:pStyle w:val="Prrafodelista"/>
        <w:numPr>
          <w:ilvl w:val="0"/>
          <w:numId w:val="8"/>
        </w:numPr>
        <w:spacing w:after="0" w:line="276" w:lineRule="auto"/>
        <w:jc w:val="both"/>
      </w:pPr>
      <w:r>
        <w:t>El programa está vinculado a los objetivos y estrategias del PED Sinaloa 2017 – 2021.</w:t>
      </w:r>
    </w:p>
    <w:p w14:paraId="304947A1" w14:textId="77777777" w:rsidR="00B21AD7" w:rsidRDefault="00B21AD7" w:rsidP="00B21AD7">
      <w:pPr>
        <w:pStyle w:val="Prrafodelista"/>
        <w:numPr>
          <w:ilvl w:val="0"/>
          <w:numId w:val="8"/>
        </w:numPr>
        <w:spacing w:after="0" w:line="276" w:lineRule="auto"/>
        <w:jc w:val="both"/>
      </w:pPr>
      <w:r>
        <w:lastRenderedPageBreak/>
        <w:t>Se cuenta con la MIR y sus fichas técnicas donde las metas de los indicadores están orientadas a impulsar el desempeño del programa.</w:t>
      </w:r>
    </w:p>
    <w:p w14:paraId="064DAF61" w14:textId="77777777" w:rsidR="00B21AD7" w:rsidRDefault="00B21AD7" w:rsidP="00B21AD7">
      <w:pPr>
        <w:pStyle w:val="Prrafodelista"/>
        <w:numPr>
          <w:ilvl w:val="0"/>
          <w:numId w:val="8"/>
        </w:numPr>
        <w:spacing w:after="0" w:line="276" w:lineRule="auto"/>
        <w:jc w:val="both"/>
      </w:pPr>
      <w:r>
        <w:t>El programa se encuentra alineado conforme a la Ley de Salud del Estado de Sinaloa.</w:t>
      </w:r>
    </w:p>
    <w:p w14:paraId="6D4DBF14" w14:textId="77777777" w:rsidR="00B21AD7" w:rsidRDefault="00B21AD7" w:rsidP="00B21AD7">
      <w:pPr>
        <w:pStyle w:val="Prrafodelista"/>
        <w:numPr>
          <w:ilvl w:val="0"/>
          <w:numId w:val="8"/>
        </w:numPr>
        <w:spacing w:after="0" w:line="276" w:lineRule="auto"/>
        <w:jc w:val="both"/>
      </w:pPr>
      <w:r>
        <w:t>Existen elementos metodológicos y de planeación que permiten diseñar, monitoreo, dar seguimiento, evaluar y rendir cuentas del programa.</w:t>
      </w:r>
    </w:p>
    <w:p w14:paraId="5AA84DDD" w14:textId="77777777" w:rsidR="00B21AD7" w:rsidRDefault="00B21AD7" w:rsidP="00B21AD7">
      <w:pPr>
        <w:pStyle w:val="Prrafodelista"/>
        <w:numPr>
          <w:ilvl w:val="0"/>
          <w:numId w:val="8"/>
        </w:numPr>
        <w:spacing w:after="0" w:line="276" w:lineRule="auto"/>
        <w:jc w:val="both"/>
      </w:pPr>
      <w:r>
        <w:t>Se cuenta con un plan estratégico que contempla los resultados que se quieren alcanzar, y los indicadores para medir el avance en el logro de sus resultados.</w:t>
      </w:r>
    </w:p>
    <w:p w14:paraId="05BFEAD6" w14:textId="77777777" w:rsidR="00B21AD7" w:rsidRDefault="00B21AD7" w:rsidP="00B21AD7">
      <w:pPr>
        <w:pStyle w:val="Prrafodelista"/>
        <w:numPr>
          <w:ilvl w:val="0"/>
          <w:numId w:val="8"/>
        </w:numPr>
        <w:spacing w:after="0" w:line="276" w:lineRule="auto"/>
        <w:jc w:val="both"/>
      </w:pPr>
      <w:r>
        <w:t>Se cuenta con personal calificado.</w:t>
      </w:r>
    </w:p>
    <w:p w14:paraId="2EA0B529" w14:textId="77777777" w:rsidR="00B21AD7" w:rsidRDefault="00B21AD7" w:rsidP="00B21AD7">
      <w:pPr>
        <w:pStyle w:val="Prrafodelista"/>
        <w:numPr>
          <w:ilvl w:val="0"/>
          <w:numId w:val="8"/>
        </w:numPr>
        <w:spacing w:after="0" w:line="276" w:lineRule="auto"/>
        <w:jc w:val="both"/>
      </w:pPr>
      <w:r>
        <w:t>El reporte de indicadores cumple con la periodicidad establecida.</w:t>
      </w:r>
    </w:p>
    <w:p w14:paraId="6652C02E" w14:textId="77777777" w:rsidR="00B21AD7" w:rsidRDefault="00B21AD7" w:rsidP="00B21AD7">
      <w:pPr>
        <w:pStyle w:val="Prrafodelista"/>
        <w:numPr>
          <w:ilvl w:val="0"/>
          <w:numId w:val="8"/>
        </w:numPr>
        <w:spacing w:after="0" w:line="276" w:lineRule="auto"/>
        <w:jc w:val="both"/>
      </w:pPr>
      <w:r>
        <w:t>Se cuenta con información sobre la población objetivo, que cubre el programa.</w:t>
      </w:r>
    </w:p>
    <w:p w14:paraId="0FA3A032" w14:textId="77777777" w:rsidR="00B21AD7" w:rsidRDefault="00B21AD7" w:rsidP="00B21AD7">
      <w:pPr>
        <w:pStyle w:val="Prrafodelista"/>
        <w:numPr>
          <w:ilvl w:val="0"/>
          <w:numId w:val="8"/>
        </w:numPr>
        <w:spacing w:after="0" w:line="276" w:lineRule="auto"/>
        <w:jc w:val="both"/>
      </w:pPr>
      <w:r>
        <w:t>El programa alcanzó un 67.54% de cobertura en el ejercicio fiscal 2021.</w:t>
      </w:r>
    </w:p>
    <w:p w14:paraId="13455ED5" w14:textId="77777777" w:rsidR="00B21AD7" w:rsidRDefault="00B21AD7" w:rsidP="00B21AD7">
      <w:pPr>
        <w:pStyle w:val="Prrafodelista"/>
        <w:numPr>
          <w:ilvl w:val="0"/>
          <w:numId w:val="8"/>
        </w:numPr>
        <w:spacing w:after="0" w:line="276" w:lineRule="auto"/>
        <w:jc w:val="both"/>
      </w:pPr>
      <w:r>
        <w:t>En la página web de los SSS se puede localizar la información de resultados principales del programa.</w:t>
      </w:r>
    </w:p>
    <w:p w14:paraId="6753BB7D" w14:textId="77777777" w:rsidR="00B21AD7" w:rsidRDefault="00B21AD7" w:rsidP="00B21AD7">
      <w:pPr>
        <w:pStyle w:val="Prrafodelista"/>
        <w:numPr>
          <w:ilvl w:val="0"/>
          <w:numId w:val="8"/>
        </w:numPr>
        <w:spacing w:after="0" w:line="276" w:lineRule="auto"/>
        <w:jc w:val="both"/>
      </w:pPr>
      <w:r>
        <w:t>Se utilizan elementos metodológicos y normas que apoyan la información.</w:t>
      </w:r>
    </w:p>
    <w:p w14:paraId="124C8766" w14:textId="77777777" w:rsidR="00B21AD7" w:rsidRDefault="00B21AD7" w:rsidP="00B21AD7">
      <w:pPr>
        <w:pStyle w:val="Prrafodelista"/>
        <w:numPr>
          <w:ilvl w:val="0"/>
          <w:numId w:val="8"/>
        </w:numPr>
        <w:spacing w:after="0" w:line="276" w:lineRule="auto"/>
        <w:jc w:val="both"/>
      </w:pPr>
      <w:r>
        <w:t>Los procesos clave en la operación del programa coinciden con las actividades y metas de la MIR.</w:t>
      </w:r>
    </w:p>
    <w:p w14:paraId="1CF3177E" w14:textId="77777777" w:rsidR="00B21AD7" w:rsidRDefault="00B21AD7" w:rsidP="00B21AD7">
      <w:pPr>
        <w:pStyle w:val="Prrafodelista"/>
        <w:numPr>
          <w:ilvl w:val="0"/>
          <w:numId w:val="8"/>
        </w:numPr>
        <w:spacing w:after="0" w:line="276" w:lineRule="auto"/>
        <w:jc w:val="both"/>
      </w:pPr>
      <w:r>
        <w:t>Los indicadores de Fin y Propósito cumplen con resultados satisfactorios, mismos que se encuentran vertidos en la MIR.</w:t>
      </w:r>
    </w:p>
    <w:p w14:paraId="1489B088" w14:textId="34D90288" w:rsidR="006174B7" w:rsidRPr="006174B7" w:rsidRDefault="00B21AD7" w:rsidP="00B21AD7">
      <w:pPr>
        <w:pStyle w:val="Prrafodelista"/>
        <w:numPr>
          <w:ilvl w:val="0"/>
          <w:numId w:val="8"/>
        </w:numPr>
        <w:spacing w:after="0" w:line="276" w:lineRule="auto"/>
        <w:jc w:val="both"/>
      </w:pPr>
      <w:r>
        <w:t>El personal del programa está comprometido con los objetivos establecidos.</w:t>
      </w:r>
    </w:p>
    <w:p w14:paraId="3A39C1FA" w14:textId="77A4F0C9"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45DDDAB2" w14:textId="77777777" w:rsidR="00B21AD7" w:rsidRDefault="00B21AD7" w:rsidP="00B21AD7">
      <w:pPr>
        <w:pStyle w:val="Prrafodelista"/>
        <w:numPr>
          <w:ilvl w:val="0"/>
          <w:numId w:val="8"/>
        </w:numPr>
        <w:spacing w:after="0" w:line="276" w:lineRule="auto"/>
        <w:jc w:val="both"/>
      </w:pPr>
      <w:r>
        <w:t>El programa tiene identificado el problema que busca resolver, mismo que se encuentra identificado en el árbol del problema del programa y en el PSS 2020 – 2024 derivado del PND 2019 – 2024.</w:t>
      </w:r>
    </w:p>
    <w:p w14:paraId="6B1BB0DC" w14:textId="77777777" w:rsidR="00B21AD7" w:rsidRDefault="00B21AD7" w:rsidP="00B21AD7">
      <w:pPr>
        <w:pStyle w:val="Prrafodelista"/>
        <w:numPr>
          <w:ilvl w:val="0"/>
          <w:numId w:val="8"/>
        </w:numPr>
        <w:spacing w:after="0" w:line="276" w:lineRule="auto"/>
        <w:jc w:val="both"/>
      </w:pPr>
      <w:r>
        <w:t>Se cuenta con la NOM-031-SSA2-1999, para la atención a la salud del niño.</w:t>
      </w:r>
    </w:p>
    <w:p w14:paraId="205CCBBB" w14:textId="77777777" w:rsidR="00B21AD7" w:rsidRDefault="00B21AD7" w:rsidP="00B21AD7">
      <w:pPr>
        <w:pStyle w:val="Prrafodelista"/>
        <w:numPr>
          <w:ilvl w:val="0"/>
          <w:numId w:val="8"/>
        </w:numPr>
        <w:spacing w:after="0" w:line="276" w:lineRule="auto"/>
        <w:jc w:val="both"/>
      </w:pPr>
      <w:r>
        <w:t>El programa se encuentra alineado conforme a la Ley General de Salud.</w:t>
      </w:r>
    </w:p>
    <w:p w14:paraId="23007650" w14:textId="77777777" w:rsidR="00B21AD7" w:rsidRDefault="00B21AD7" w:rsidP="00B21AD7">
      <w:pPr>
        <w:pStyle w:val="Prrafodelista"/>
        <w:numPr>
          <w:ilvl w:val="0"/>
          <w:numId w:val="8"/>
        </w:numPr>
        <w:spacing w:after="0" w:line="276" w:lineRule="auto"/>
        <w:jc w:val="both"/>
      </w:pPr>
      <w:r>
        <w:t>El programa se encuentra vinculado con los Objetivos del Desarrollo Sostenible.</w:t>
      </w:r>
    </w:p>
    <w:p w14:paraId="63C7A970" w14:textId="77777777" w:rsidR="00B21AD7" w:rsidRDefault="00B21AD7" w:rsidP="00B21AD7">
      <w:pPr>
        <w:pStyle w:val="Prrafodelista"/>
        <w:numPr>
          <w:ilvl w:val="0"/>
          <w:numId w:val="8"/>
        </w:numPr>
        <w:spacing w:after="0" w:line="276" w:lineRule="auto"/>
        <w:jc w:val="both"/>
      </w:pPr>
      <w:r>
        <w:t>El programa utiliza sistemas de captura y análisis de la información.</w:t>
      </w:r>
    </w:p>
    <w:p w14:paraId="67614B05" w14:textId="7DBC0760" w:rsidR="006174B7" w:rsidRDefault="00B21AD7" w:rsidP="00B21AD7">
      <w:pPr>
        <w:pStyle w:val="Prrafodelista"/>
        <w:numPr>
          <w:ilvl w:val="0"/>
          <w:numId w:val="8"/>
        </w:numPr>
        <w:spacing w:after="0" w:line="276" w:lineRule="auto"/>
        <w:jc w:val="both"/>
      </w:pPr>
      <w:r>
        <w:t>Inclusión de mayor cantidad de actividades en reportes de indicadores.</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3C0C1519" w14:textId="4524B20A" w:rsidR="005D6B8F" w:rsidRDefault="00B21AD7" w:rsidP="00B21AD7">
      <w:pPr>
        <w:pStyle w:val="Prrafodelista"/>
        <w:numPr>
          <w:ilvl w:val="0"/>
          <w:numId w:val="8"/>
        </w:numPr>
        <w:spacing w:after="0" w:line="276" w:lineRule="auto"/>
        <w:jc w:val="both"/>
      </w:pPr>
      <w:r>
        <w:t>El reporte de indicadores no está sistematizado.</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49C048E1" w14:textId="77777777" w:rsidR="00B21AD7" w:rsidRDefault="00B21AD7" w:rsidP="00B21AD7">
      <w:pPr>
        <w:pStyle w:val="Prrafodelista"/>
        <w:numPr>
          <w:ilvl w:val="0"/>
          <w:numId w:val="8"/>
        </w:numPr>
        <w:spacing w:after="0" w:line="276" w:lineRule="auto"/>
        <w:jc w:val="both"/>
      </w:pPr>
      <w:r>
        <w:t>No se cuenta con un instrumento para medir el grado de satisfacción de la población atendida por el Programa.</w:t>
      </w:r>
    </w:p>
    <w:p w14:paraId="6D6D7BAA" w14:textId="22E3EB81" w:rsidR="005D6B8F" w:rsidRDefault="00B21AD7" w:rsidP="00B21AD7">
      <w:pPr>
        <w:pStyle w:val="Prrafodelista"/>
        <w:numPr>
          <w:ilvl w:val="0"/>
          <w:numId w:val="8"/>
        </w:numPr>
        <w:spacing w:after="0" w:line="276" w:lineRule="auto"/>
        <w:jc w:val="both"/>
      </w:pPr>
      <w:r w:rsidRPr="00B21AD7">
        <w:t>Problemas de recortes presupuestarios.</w:t>
      </w:r>
    </w:p>
    <w:p w14:paraId="30BA35DA" w14:textId="39697654" w:rsidR="00AF2993" w:rsidRDefault="00AF2993" w:rsidP="00521401">
      <w:pPr>
        <w:spacing w:after="0" w:line="276" w:lineRule="auto"/>
        <w:ind w:hanging="284"/>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185FFE">
        <w:trPr>
          <w:trHeight w:val="340"/>
          <w:tblHeader/>
        </w:trPr>
        <w:tc>
          <w:tcPr>
            <w:tcW w:w="9910" w:type="dxa"/>
            <w:shd w:val="clear" w:color="auto" w:fill="651D32"/>
            <w:vAlign w:val="center"/>
          </w:tcPr>
          <w:p w14:paraId="0D736EE3" w14:textId="3DA3E663" w:rsidR="00AF2993" w:rsidRDefault="00AF2993" w:rsidP="006F4B1F">
            <w:pPr>
              <w:pStyle w:val="Prrafodelista"/>
              <w:numPr>
                <w:ilvl w:val="0"/>
                <w:numId w:val="4"/>
              </w:numPr>
              <w:spacing w:after="0" w:line="276" w:lineRule="auto"/>
            </w:pPr>
            <w:r w:rsidRPr="00AF2993">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568941F" w14:textId="77777777" w:rsidR="00A4624B" w:rsidRPr="00A4624B" w:rsidRDefault="00A4624B" w:rsidP="00AC6C96">
      <w:pPr>
        <w:spacing w:line="276" w:lineRule="auto"/>
        <w:ind w:left="284"/>
        <w:jc w:val="both"/>
        <w:rPr>
          <w:lang w:val="es-ES"/>
        </w:rPr>
      </w:pPr>
      <w:r w:rsidRPr="00A4624B">
        <w:rPr>
          <w:lang w:val="es-ES"/>
        </w:rPr>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p>
    <w:p w14:paraId="28075071" w14:textId="77777777" w:rsidR="00A4624B" w:rsidRPr="00A4624B" w:rsidRDefault="00A4624B" w:rsidP="00AC6C96">
      <w:pPr>
        <w:spacing w:line="276" w:lineRule="auto"/>
        <w:ind w:left="284"/>
        <w:jc w:val="both"/>
        <w:rPr>
          <w:lang w:val="es-ES"/>
        </w:rPr>
      </w:pPr>
      <w:r w:rsidRPr="00A4624B">
        <w:rPr>
          <w:lang w:val="es-ES"/>
        </w:rPr>
        <w:t xml:space="preserve">De las 51 preguntas, 34 deben ser respondidas mediante un esquema binario (sí/no) sustentando con evidencia documental y haciendo explícitos los principales argumentos empleados en el análisis. Estas </w:t>
      </w:r>
      <w:r w:rsidRPr="00A4624B">
        <w:rPr>
          <w:lang w:val="es-ES"/>
        </w:rPr>
        <w:lastRenderedPageBreak/>
        <w:t>preguntas presentan diversos niveles de respuesta cuya puntuación más alta es de 4 y la mínima de 0 cuando la respuesta es no.</w:t>
      </w:r>
    </w:p>
    <w:p w14:paraId="30F09E91" w14:textId="17AABE9B" w:rsidR="005D6B8F" w:rsidRDefault="00B21AD7" w:rsidP="00185FFE">
      <w:pPr>
        <w:spacing w:line="276" w:lineRule="auto"/>
        <w:ind w:left="284"/>
        <w:jc w:val="both"/>
      </w:pPr>
      <w:r w:rsidRPr="00B21AD7">
        <w:t>Con base en las preguntas que tienen una repuesta binaria y que presentan una calificación se obtuvieron los resultados anotados en el siguiente cuadro. Como se puede observar, la puntuación global es de 1.96 sobre una calificación máxima de 4 para cada uno de los temas, destacándose las notas de Diseño y Operación, sin embargo, es preciso anotar que este es el primer ejercicio de evaluación de este programa en el estado de Sinaloa por lo que no hay evaluaciones previas que permitan contestar las preguntas 16, 17, 18, 19 y 20 en la sección de Planeación y Orientación a Resultados y las preguntas 46, 47, 48, 49, 50 y 51 de la sección de Resultados.</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81"/>
        <w:gridCol w:w="1231"/>
      </w:tblGrid>
      <w:tr w:rsidR="00A4624B" w14:paraId="2FD94B32" w14:textId="77777777" w:rsidTr="005D6B8F">
        <w:trPr>
          <w:trHeight w:val="275"/>
          <w:jc w:val="center"/>
        </w:trPr>
        <w:tc>
          <w:tcPr>
            <w:tcW w:w="3681" w:type="dxa"/>
            <w:shd w:val="clear" w:color="auto" w:fill="651D32"/>
            <w:vAlign w:val="center"/>
          </w:tcPr>
          <w:p w14:paraId="4EE87CD3" w14:textId="443357E3" w:rsidR="00A4624B" w:rsidRDefault="00A4624B" w:rsidP="002C4887">
            <w:pPr>
              <w:spacing w:after="0" w:line="240" w:lineRule="auto"/>
              <w:jc w:val="center"/>
            </w:pPr>
            <w:r>
              <w:t>Tema</w:t>
            </w:r>
          </w:p>
        </w:tc>
        <w:tc>
          <w:tcPr>
            <w:tcW w:w="1231" w:type="dxa"/>
            <w:shd w:val="clear" w:color="auto" w:fill="651D32"/>
            <w:vAlign w:val="center"/>
          </w:tcPr>
          <w:p w14:paraId="48098251" w14:textId="77777777" w:rsidR="00A4624B" w:rsidRDefault="00A4624B" w:rsidP="002C4887">
            <w:pPr>
              <w:spacing w:after="0" w:line="240" w:lineRule="auto"/>
              <w:jc w:val="center"/>
            </w:pPr>
            <w:r>
              <w:t>Calificación ponderada</w:t>
            </w:r>
          </w:p>
        </w:tc>
      </w:tr>
      <w:tr w:rsidR="00B21AD7" w14:paraId="22EFC5DE" w14:textId="77777777" w:rsidTr="005D6B8F">
        <w:trPr>
          <w:trHeight w:val="57"/>
          <w:jc w:val="center"/>
        </w:trPr>
        <w:tc>
          <w:tcPr>
            <w:tcW w:w="3681" w:type="dxa"/>
            <w:vAlign w:val="center"/>
          </w:tcPr>
          <w:p w14:paraId="3E269AFA" w14:textId="77777777" w:rsidR="00B21AD7" w:rsidRDefault="00B21AD7" w:rsidP="00B21AD7">
            <w:pPr>
              <w:spacing w:after="0" w:line="240" w:lineRule="auto"/>
            </w:pPr>
            <w:r>
              <w:t>Diseño</w:t>
            </w:r>
          </w:p>
        </w:tc>
        <w:tc>
          <w:tcPr>
            <w:tcW w:w="1231" w:type="dxa"/>
            <w:vAlign w:val="center"/>
          </w:tcPr>
          <w:p w14:paraId="6A142C2E" w14:textId="1AD91C7E" w:rsidR="00B21AD7" w:rsidRDefault="00B21AD7" w:rsidP="00B21AD7">
            <w:pPr>
              <w:spacing w:after="0" w:line="240" w:lineRule="auto"/>
              <w:jc w:val="center"/>
            </w:pPr>
            <w:r>
              <w:t>3.44</w:t>
            </w:r>
          </w:p>
        </w:tc>
      </w:tr>
      <w:tr w:rsidR="00B21AD7" w14:paraId="1ED456F9" w14:textId="77777777" w:rsidTr="005D6B8F">
        <w:trPr>
          <w:trHeight w:val="57"/>
          <w:jc w:val="center"/>
        </w:trPr>
        <w:tc>
          <w:tcPr>
            <w:tcW w:w="3681" w:type="dxa"/>
            <w:vAlign w:val="center"/>
          </w:tcPr>
          <w:p w14:paraId="6386915D" w14:textId="77777777" w:rsidR="00B21AD7" w:rsidRDefault="00B21AD7" w:rsidP="00B21AD7">
            <w:pPr>
              <w:spacing w:after="0" w:line="240" w:lineRule="auto"/>
            </w:pPr>
            <w:r>
              <w:t>Planeación y orientación a resultados</w:t>
            </w:r>
          </w:p>
        </w:tc>
        <w:tc>
          <w:tcPr>
            <w:tcW w:w="1231" w:type="dxa"/>
            <w:vAlign w:val="center"/>
          </w:tcPr>
          <w:p w14:paraId="3C839412" w14:textId="1626D6D5" w:rsidR="00B21AD7" w:rsidRDefault="00B21AD7" w:rsidP="00B21AD7">
            <w:pPr>
              <w:spacing w:after="0" w:line="240" w:lineRule="auto"/>
              <w:jc w:val="center"/>
            </w:pPr>
            <w:r>
              <w:t>1.83</w:t>
            </w:r>
          </w:p>
        </w:tc>
      </w:tr>
      <w:tr w:rsidR="00B21AD7" w14:paraId="3D4D2757" w14:textId="77777777" w:rsidTr="005D6B8F">
        <w:trPr>
          <w:trHeight w:val="57"/>
          <w:jc w:val="center"/>
        </w:trPr>
        <w:tc>
          <w:tcPr>
            <w:tcW w:w="3681" w:type="dxa"/>
            <w:vAlign w:val="center"/>
          </w:tcPr>
          <w:p w14:paraId="53195F87" w14:textId="77777777" w:rsidR="00B21AD7" w:rsidRDefault="00B21AD7" w:rsidP="00B21AD7">
            <w:pPr>
              <w:spacing w:after="0" w:line="240" w:lineRule="auto"/>
            </w:pPr>
            <w:r>
              <w:t>Cobertura y focalización</w:t>
            </w:r>
          </w:p>
        </w:tc>
        <w:tc>
          <w:tcPr>
            <w:tcW w:w="1231" w:type="dxa"/>
            <w:vAlign w:val="center"/>
          </w:tcPr>
          <w:p w14:paraId="0F72AC6A" w14:textId="6B0C60AC" w:rsidR="00B21AD7" w:rsidRDefault="00B21AD7" w:rsidP="00B21AD7">
            <w:pPr>
              <w:spacing w:after="0" w:line="240" w:lineRule="auto"/>
              <w:jc w:val="center"/>
            </w:pPr>
            <w:r>
              <w:t>2</w:t>
            </w:r>
          </w:p>
        </w:tc>
      </w:tr>
      <w:tr w:rsidR="00B21AD7" w14:paraId="0D64BF50" w14:textId="77777777" w:rsidTr="005D6B8F">
        <w:trPr>
          <w:trHeight w:val="57"/>
          <w:jc w:val="center"/>
        </w:trPr>
        <w:tc>
          <w:tcPr>
            <w:tcW w:w="3681" w:type="dxa"/>
            <w:vAlign w:val="center"/>
          </w:tcPr>
          <w:p w14:paraId="53EAFD5C" w14:textId="77777777" w:rsidR="00B21AD7" w:rsidRDefault="00B21AD7" w:rsidP="00B21AD7">
            <w:pPr>
              <w:spacing w:after="0" w:line="240" w:lineRule="auto"/>
            </w:pPr>
            <w:r>
              <w:t>Operación</w:t>
            </w:r>
          </w:p>
        </w:tc>
        <w:tc>
          <w:tcPr>
            <w:tcW w:w="1231" w:type="dxa"/>
            <w:vAlign w:val="center"/>
          </w:tcPr>
          <w:p w14:paraId="79069A92" w14:textId="54E5A8A2" w:rsidR="00B21AD7" w:rsidRDefault="00B21AD7" w:rsidP="00B21AD7">
            <w:pPr>
              <w:spacing w:after="0" w:line="240" w:lineRule="auto"/>
              <w:jc w:val="center"/>
            </w:pPr>
            <w:r>
              <w:t>3.67</w:t>
            </w:r>
          </w:p>
        </w:tc>
      </w:tr>
      <w:tr w:rsidR="00B21AD7" w14:paraId="6342DFC4" w14:textId="77777777" w:rsidTr="005D6B8F">
        <w:trPr>
          <w:trHeight w:val="57"/>
          <w:jc w:val="center"/>
        </w:trPr>
        <w:tc>
          <w:tcPr>
            <w:tcW w:w="3681" w:type="dxa"/>
            <w:vAlign w:val="center"/>
          </w:tcPr>
          <w:p w14:paraId="6D0C25AB" w14:textId="77777777" w:rsidR="00B21AD7" w:rsidRDefault="00B21AD7" w:rsidP="00B21AD7">
            <w:pPr>
              <w:spacing w:after="0" w:line="240" w:lineRule="auto"/>
            </w:pPr>
            <w:r>
              <w:t>Percepción de la población atendida</w:t>
            </w:r>
          </w:p>
        </w:tc>
        <w:tc>
          <w:tcPr>
            <w:tcW w:w="1231" w:type="dxa"/>
            <w:vAlign w:val="center"/>
          </w:tcPr>
          <w:p w14:paraId="060E0783" w14:textId="09833C53" w:rsidR="00B21AD7" w:rsidRDefault="00B21AD7" w:rsidP="00B21AD7">
            <w:pPr>
              <w:spacing w:after="0" w:line="240" w:lineRule="auto"/>
              <w:jc w:val="center"/>
            </w:pPr>
            <w:r>
              <w:t>0</w:t>
            </w:r>
          </w:p>
        </w:tc>
      </w:tr>
      <w:tr w:rsidR="00B21AD7" w14:paraId="725AA31E" w14:textId="77777777" w:rsidTr="005D6B8F">
        <w:trPr>
          <w:trHeight w:val="57"/>
          <w:jc w:val="center"/>
        </w:trPr>
        <w:tc>
          <w:tcPr>
            <w:tcW w:w="3681" w:type="dxa"/>
            <w:vAlign w:val="center"/>
          </w:tcPr>
          <w:p w14:paraId="178F3E5E" w14:textId="77777777" w:rsidR="00B21AD7" w:rsidRDefault="00B21AD7" w:rsidP="00B21AD7">
            <w:pPr>
              <w:spacing w:after="0" w:line="240" w:lineRule="auto"/>
            </w:pPr>
            <w:r>
              <w:t>Resultados</w:t>
            </w:r>
          </w:p>
        </w:tc>
        <w:tc>
          <w:tcPr>
            <w:tcW w:w="1231" w:type="dxa"/>
            <w:vAlign w:val="center"/>
          </w:tcPr>
          <w:p w14:paraId="6D585FA8" w14:textId="0AADFE18" w:rsidR="00B21AD7" w:rsidRDefault="00B21AD7" w:rsidP="00B21AD7">
            <w:pPr>
              <w:spacing w:after="0" w:line="240" w:lineRule="auto"/>
              <w:jc w:val="center"/>
            </w:pPr>
            <w:r>
              <w:t>0.8</w:t>
            </w:r>
          </w:p>
        </w:tc>
      </w:tr>
      <w:tr w:rsidR="00B21AD7" w14:paraId="3BED9929" w14:textId="77777777" w:rsidTr="005D6B8F">
        <w:trPr>
          <w:trHeight w:val="57"/>
          <w:jc w:val="center"/>
        </w:trPr>
        <w:tc>
          <w:tcPr>
            <w:tcW w:w="3681" w:type="dxa"/>
            <w:vAlign w:val="center"/>
          </w:tcPr>
          <w:p w14:paraId="1A30B61A" w14:textId="77777777" w:rsidR="00B21AD7" w:rsidRDefault="00B21AD7" w:rsidP="00B21AD7">
            <w:pPr>
              <w:spacing w:after="0" w:line="240" w:lineRule="auto"/>
              <w:jc w:val="right"/>
            </w:pPr>
            <w:r>
              <w:t>Valoración final</w:t>
            </w:r>
          </w:p>
        </w:tc>
        <w:tc>
          <w:tcPr>
            <w:tcW w:w="1231" w:type="dxa"/>
            <w:vAlign w:val="center"/>
          </w:tcPr>
          <w:p w14:paraId="59C6D531" w14:textId="4FF98C33" w:rsidR="00B21AD7" w:rsidRDefault="00B21AD7" w:rsidP="00B21AD7">
            <w:pPr>
              <w:spacing w:after="0" w:line="240" w:lineRule="auto"/>
              <w:jc w:val="center"/>
            </w:pPr>
            <w:r>
              <w:t>1.96</w:t>
            </w:r>
          </w:p>
        </w:tc>
      </w:tr>
    </w:tbl>
    <w:p w14:paraId="39F36B56" w14:textId="021A5E3A" w:rsidR="00A4624B" w:rsidRDefault="00A4624B"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308F32CB" w14:textId="77777777" w:rsidR="00B21AD7" w:rsidRDefault="00B21AD7" w:rsidP="00B21AD7">
      <w:pPr>
        <w:pStyle w:val="Prrafodelista"/>
        <w:numPr>
          <w:ilvl w:val="0"/>
          <w:numId w:val="2"/>
        </w:numPr>
        <w:spacing w:after="0" w:line="276" w:lineRule="auto"/>
        <w:jc w:val="both"/>
      </w:pPr>
      <w:r>
        <w:t>Establecer un instrumento que permita recabar información para medir el grado de satisfacción de la población atendida y sus resultados.</w:t>
      </w:r>
    </w:p>
    <w:p w14:paraId="08AD12EB" w14:textId="009C73A3" w:rsidR="00A165BB" w:rsidRDefault="00B21AD7" w:rsidP="00B21AD7">
      <w:pPr>
        <w:pStyle w:val="Prrafodelista"/>
        <w:numPr>
          <w:ilvl w:val="0"/>
          <w:numId w:val="2"/>
        </w:numPr>
        <w:spacing w:after="0" w:line="276" w:lineRule="auto"/>
        <w:jc w:val="both"/>
      </w:pPr>
      <w:r>
        <w:t>Sistematizar el reporte de los indicadores.</w:t>
      </w:r>
    </w:p>
    <w:p w14:paraId="65B6D990" w14:textId="77777777" w:rsidR="005D6B8F" w:rsidRDefault="005D6B8F" w:rsidP="005D6B8F">
      <w:pPr>
        <w:spacing w:after="0" w:line="276" w:lineRule="auto"/>
        <w:jc w:val="both"/>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 xml:space="preserve">Jorge Alfredo </w:t>
            </w:r>
            <w:proofErr w:type="spellStart"/>
            <w:r>
              <w:t>Gameros</w:t>
            </w:r>
            <w:proofErr w:type="spellEnd"/>
            <w:r>
              <w:t xml:space="preserve">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139A0659" w:rsidR="006C747D" w:rsidRPr="00133709" w:rsidRDefault="00071C0B" w:rsidP="00521401">
            <w:pPr>
              <w:spacing w:after="0" w:line="276" w:lineRule="auto"/>
              <w:ind w:left="179"/>
            </w:pPr>
            <w:hyperlink r:id="rId12" w:history="1">
              <w:r w:rsidR="006454E2" w:rsidRPr="00C97E49">
                <w:rPr>
                  <w:rStyle w:val="Hipervnculo"/>
                </w:rPr>
                <w:t>jorge.gameros@sinaloa.gob.mx</w:t>
              </w:r>
            </w:hyperlink>
            <w:r w:rsidR="006454E2">
              <w:t xml:space="preserve"> </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185FFE">
        <w:trPr>
          <w:trHeight w:val="340"/>
          <w:tblHeader/>
        </w:trPr>
        <w:tc>
          <w:tcPr>
            <w:tcW w:w="9910" w:type="dxa"/>
            <w:gridSpan w:val="4"/>
            <w:shd w:val="clear" w:color="auto" w:fill="651D32"/>
            <w:vAlign w:val="center"/>
          </w:tcPr>
          <w:p w14:paraId="57932F8D" w14:textId="77777777" w:rsidR="007C4CD6" w:rsidRDefault="007C4CD6" w:rsidP="006F4B1F">
            <w:pPr>
              <w:pStyle w:val="Prrafodelista"/>
              <w:numPr>
                <w:ilvl w:val="0"/>
                <w:numId w:val="4"/>
              </w:numPr>
              <w:spacing w:after="0" w:line="276" w:lineRule="auto"/>
            </w:pPr>
            <w:r w:rsidRPr="00BA4A59">
              <w:rPr>
                <w:rFonts w:eastAsia="Times New Roman"/>
                <w:b/>
                <w:color w:val="FFFFFF"/>
                <w:lang w:eastAsia="es-MX"/>
              </w:rPr>
              <w:lastRenderedPageBreak/>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76D2D349" w:rsidR="007C4CD6" w:rsidRPr="00521401" w:rsidRDefault="005833C6" w:rsidP="00521401">
            <w:pPr>
              <w:spacing w:after="0" w:line="276" w:lineRule="auto"/>
              <w:ind w:left="179"/>
            </w:pPr>
            <w:r>
              <w:rPr>
                <w:rFonts w:eastAsia="Times New Roman"/>
                <w:color w:val="000000"/>
                <w:lang w:eastAsia="es-MX"/>
              </w:rPr>
              <w:t>Infancia</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5609DA">
        <w:trPr>
          <w:trHeight w:val="340"/>
        </w:trPr>
        <w:tc>
          <w:tcPr>
            <w:tcW w:w="9910" w:type="dxa"/>
            <w:gridSpan w:val="4"/>
            <w:shd w:val="clear" w:color="auto" w:fill="auto"/>
            <w:vAlign w:val="center"/>
          </w:tcPr>
          <w:p w14:paraId="0850CE8D" w14:textId="3CE02421" w:rsidR="007C4CD6" w:rsidRPr="007C4CD6" w:rsidRDefault="005609DA" w:rsidP="00521401">
            <w:pPr>
              <w:spacing w:after="0" w:line="276" w:lineRule="auto"/>
              <w:ind w:left="179"/>
            </w:pPr>
            <w:r>
              <w:t>Infancia</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3E1F4568" w:rsidR="007C4CD6" w:rsidRPr="007C4CD6" w:rsidRDefault="00A165BB" w:rsidP="00521401">
            <w:pPr>
              <w:spacing w:after="0" w:line="276" w:lineRule="auto"/>
              <w:ind w:left="179"/>
            </w:pPr>
            <w:r w:rsidRPr="007B0196">
              <w:rPr>
                <w:rFonts w:eastAsia="Times New Roman"/>
                <w:bCs/>
                <w:color w:val="000000"/>
                <w:lang w:eastAsia="es-MX"/>
              </w:rPr>
              <w:t>Dirección de Prevención y Promoción de la Salud</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5609DA">
        <w:trPr>
          <w:trHeight w:val="340"/>
        </w:trPr>
        <w:tc>
          <w:tcPr>
            <w:tcW w:w="2405" w:type="dxa"/>
            <w:shd w:val="clear" w:color="auto" w:fill="auto"/>
            <w:vAlign w:val="center"/>
          </w:tcPr>
          <w:p w14:paraId="43D369B0" w14:textId="6E379EFD" w:rsidR="005A28B9" w:rsidRPr="00A16BE7" w:rsidRDefault="005609DA" w:rsidP="00090637">
            <w:pPr>
              <w:spacing w:after="0" w:line="276" w:lineRule="auto"/>
              <w:jc w:val="center"/>
            </w:pPr>
            <w:r>
              <w:t>X</w:t>
            </w:r>
          </w:p>
        </w:tc>
        <w:tc>
          <w:tcPr>
            <w:tcW w:w="2410" w:type="dxa"/>
            <w:shd w:val="clear" w:color="auto" w:fill="auto"/>
            <w:vAlign w:val="center"/>
          </w:tcPr>
          <w:p w14:paraId="208A5616" w14:textId="70B75EAD"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071C0B">
        <w:trPr>
          <w:trHeight w:val="340"/>
        </w:trPr>
        <w:tc>
          <w:tcPr>
            <w:tcW w:w="3256" w:type="dxa"/>
            <w:shd w:val="clear" w:color="auto" w:fill="auto"/>
            <w:vAlign w:val="center"/>
          </w:tcPr>
          <w:p w14:paraId="06EEC80E" w14:textId="7150CA06" w:rsidR="00090637" w:rsidRPr="00D913D9" w:rsidRDefault="00071C0B" w:rsidP="00287214">
            <w:pPr>
              <w:spacing w:after="0" w:line="276" w:lineRule="auto"/>
              <w:jc w:val="center"/>
              <w:rPr>
                <w:bCs/>
              </w:rPr>
            </w:pPr>
            <w:r>
              <w:rPr>
                <w:bCs/>
              </w:rPr>
              <w:t>X</w:t>
            </w:r>
          </w:p>
        </w:tc>
        <w:tc>
          <w:tcPr>
            <w:tcW w:w="3402" w:type="dxa"/>
            <w:shd w:val="clear" w:color="auto" w:fill="auto"/>
            <w:vAlign w:val="center"/>
          </w:tcPr>
          <w:p w14:paraId="117D875F" w14:textId="1681A864" w:rsidR="00090637" w:rsidRPr="00090637" w:rsidRDefault="00090637" w:rsidP="00287214">
            <w:pPr>
              <w:spacing w:after="0" w:line="276" w:lineRule="auto"/>
              <w:jc w:val="center"/>
            </w:pP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5833C6">
        <w:trPr>
          <w:trHeight w:val="340"/>
        </w:trPr>
        <w:tc>
          <w:tcPr>
            <w:tcW w:w="9910" w:type="dxa"/>
            <w:gridSpan w:val="3"/>
            <w:shd w:val="clear" w:color="auto" w:fill="auto"/>
          </w:tcPr>
          <w:p w14:paraId="7091B8EA" w14:textId="5C7AF26D" w:rsidR="005065B9" w:rsidRPr="00521401" w:rsidRDefault="00975299" w:rsidP="005065B9">
            <w:pPr>
              <w:spacing w:after="0" w:line="276" w:lineRule="auto"/>
              <w:ind w:left="179"/>
            </w:pPr>
            <w:r w:rsidRPr="001D3CC4">
              <w:t xml:space="preserve">Gerardo Kenny </w:t>
            </w:r>
            <w:proofErr w:type="spellStart"/>
            <w:r w:rsidRPr="001D3CC4">
              <w:t>Inzunza</w:t>
            </w:r>
            <w:proofErr w:type="spellEnd"/>
            <w:r w:rsidRPr="001D3CC4">
              <w:t xml:space="preserve"> Leyva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5833C6">
        <w:trPr>
          <w:trHeight w:val="340"/>
        </w:trPr>
        <w:tc>
          <w:tcPr>
            <w:tcW w:w="9910" w:type="dxa"/>
            <w:gridSpan w:val="3"/>
            <w:shd w:val="clear" w:color="auto" w:fill="auto"/>
          </w:tcPr>
          <w:p w14:paraId="54E4AA94" w14:textId="658C6F62" w:rsidR="00A4624B" w:rsidRPr="007301C5" w:rsidRDefault="00071C0B" w:rsidP="00A4624B">
            <w:pPr>
              <w:spacing w:after="0" w:line="276" w:lineRule="auto"/>
              <w:ind w:left="179"/>
            </w:pPr>
            <w:hyperlink r:id="rId13" w:history="1">
              <w:r w:rsidR="00B7051F" w:rsidRPr="00C97E49">
                <w:rPr>
                  <w:rStyle w:val="Hipervnculo"/>
                </w:rPr>
                <w:t>doctor_inzunza@hotmail.com</w:t>
              </w:r>
            </w:hyperlink>
            <w:r w:rsidR="00B7051F">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5065B9" w14:paraId="3C5D9DC6" w14:textId="77777777" w:rsidTr="005833C6">
        <w:trPr>
          <w:trHeight w:val="340"/>
        </w:trPr>
        <w:tc>
          <w:tcPr>
            <w:tcW w:w="9910" w:type="dxa"/>
            <w:gridSpan w:val="3"/>
            <w:shd w:val="clear" w:color="auto" w:fill="auto"/>
          </w:tcPr>
          <w:p w14:paraId="138DA773" w14:textId="626E8A01" w:rsidR="005065B9" w:rsidRPr="007301C5" w:rsidRDefault="00831AF9" w:rsidP="005065B9">
            <w:pPr>
              <w:spacing w:after="0" w:line="276" w:lineRule="auto"/>
              <w:ind w:left="179"/>
            </w:pPr>
            <w:r>
              <w:t>Servicios de Salud de Sinaloa</w:t>
            </w:r>
          </w:p>
        </w:tc>
      </w:tr>
      <w:tr w:rsidR="00A753A2"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sidR="00287214">
              <w:rPr>
                <w:rFonts w:eastAsia="Times New Roman"/>
                <w:b/>
                <w:color w:val="000000"/>
                <w:lang w:eastAsia="es-MX"/>
              </w:rPr>
              <w:t xml:space="preserve">clave </w:t>
            </w:r>
            <w:r w:rsidRPr="00A753A2">
              <w:rPr>
                <w:rFonts w:eastAsia="Times New Roman"/>
                <w:b/>
                <w:color w:val="000000"/>
                <w:lang w:eastAsia="es-MX"/>
              </w:rPr>
              <w:t>lada:</w:t>
            </w:r>
          </w:p>
        </w:tc>
      </w:tr>
      <w:tr w:rsidR="005065B9" w14:paraId="49F6EF2F" w14:textId="77777777" w:rsidTr="005833C6">
        <w:trPr>
          <w:trHeight w:val="340"/>
        </w:trPr>
        <w:tc>
          <w:tcPr>
            <w:tcW w:w="9910" w:type="dxa"/>
            <w:gridSpan w:val="3"/>
            <w:shd w:val="clear" w:color="auto" w:fill="auto"/>
          </w:tcPr>
          <w:p w14:paraId="6F19C066" w14:textId="168A2DD7" w:rsidR="005065B9" w:rsidRPr="007301C5" w:rsidRDefault="005065B9" w:rsidP="005065B9">
            <w:pPr>
              <w:spacing w:after="0" w:line="276" w:lineRule="auto"/>
              <w:ind w:left="179"/>
            </w:pPr>
            <w:r w:rsidRPr="0058649A">
              <w:t xml:space="preserve">(667) </w:t>
            </w:r>
            <w:r w:rsidR="00A4624B">
              <w:t>758 7000 Ext. 40399</w:t>
            </w:r>
          </w:p>
        </w:tc>
        <w:bookmarkStart w:id="0" w:name="_GoBack"/>
        <w:bookmarkEnd w:id="0"/>
      </w:tr>
    </w:tbl>
    <w:p w14:paraId="2142A7BB" w14:textId="246D872C" w:rsidR="005D6B8F" w:rsidRDefault="005D6B8F" w:rsidP="00090637">
      <w:pPr>
        <w:spacing w:after="0" w:line="276" w:lineRule="auto"/>
        <w:jc w:val="both"/>
        <w:rPr>
          <w:lang w:val="es-ES"/>
        </w:rPr>
      </w:pPr>
    </w:p>
    <w:p w14:paraId="18E777A8" w14:textId="7D9DD4B2" w:rsidR="005D6B8F" w:rsidRDefault="005D6B8F" w:rsidP="005D6B8F">
      <w:pPr>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r w:rsidR="00090637" w14:paraId="48B7EE0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4AF233B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lastRenderedPageBreak/>
              <w:t>D</w:t>
            </w:r>
            <w:r w:rsidR="007D00B1" w:rsidRPr="00866990">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stiza">
    <w:altName w:val="Calibri"/>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edium">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6B87B8C9"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071C0B">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64600136"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071C0B" w:rsidRPr="00071C0B">
          <w:rPr>
            <w:b/>
            <w:bCs/>
            <w:noProof/>
            <w:sz w:val="18"/>
            <w:szCs w:val="18"/>
            <w:lang w:val="es-ES"/>
          </w:rPr>
          <w:t>2</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Default="0008479E" w:rsidP="0008479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65pt;height:596.95pt" o:bullet="t">
        <v:imagedata r:id="rId1" o:title="03"/>
      </v:shape>
    </w:pict>
  </w:numPicBullet>
  <w:numPicBullet w:numPicBulletId="1">
    <w:pict>
      <v:shape id="_x0000_i1027" type="#_x0000_t75" style="width:283pt;height:298.05pt" o:bullet="t">
        <v:imagedata r:id="rId2" o:title="04"/>
      </v:shape>
    </w:pict>
  </w:numPicBullet>
  <w:abstractNum w:abstractNumId="0" w15:restartNumberingAfterBreak="0">
    <w:nsid w:val="11D00CA9"/>
    <w:multiLevelType w:val="multilevel"/>
    <w:tmpl w:val="080A001F"/>
    <w:numStyleLink w:val="Estilo1"/>
  </w:abstractNum>
  <w:abstractNum w:abstractNumId="1" w15:restartNumberingAfterBreak="0">
    <w:nsid w:val="141105A8"/>
    <w:multiLevelType w:val="hybridMultilevel"/>
    <w:tmpl w:val="6FFA30DE"/>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4117609"/>
    <w:multiLevelType w:val="hybridMultilevel"/>
    <w:tmpl w:val="202E07E4"/>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4" w15:restartNumberingAfterBreak="0">
    <w:nsid w:val="1D580115"/>
    <w:multiLevelType w:val="hybridMultilevel"/>
    <w:tmpl w:val="6284F9DC"/>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7"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CB2DA8"/>
    <w:multiLevelType w:val="hybridMultilevel"/>
    <w:tmpl w:val="8EC831CE"/>
    <w:lvl w:ilvl="0" w:tplc="BD7AA8B2">
      <w:start w:val="1"/>
      <w:numFmt w:val="bullet"/>
      <w:lvlText w:val=""/>
      <w:lvlPicBulletId w:val="0"/>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F532EF"/>
    <w:multiLevelType w:val="hybridMultilevel"/>
    <w:tmpl w:val="55E0EADC"/>
    <w:lvl w:ilvl="0" w:tplc="BD7AA8B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3"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62466C6"/>
    <w:multiLevelType w:val="hybridMultilevel"/>
    <w:tmpl w:val="EE56D9A2"/>
    <w:lvl w:ilvl="0" w:tplc="BD7AA8B2">
      <w:start w:val="1"/>
      <w:numFmt w:val="bullet"/>
      <w:lvlText w:val=""/>
      <w:lvlPicBulletId w:val="0"/>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18"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9" w15:restartNumberingAfterBreak="0">
    <w:nsid w:val="62A528A4"/>
    <w:multiLevelType w:val="hybridMultilevel"/>
    <w:tmpl w:val="A0F0B3CE"/>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B86A22"/>
    <w:multiLevelType w:val="hybridMultilevel"/>
    <w:tmpl w:val="C7C4255C"/>
    <w:lvl w:ilvl="0" w:tplc="BD7AA8B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6"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0"/>
  </w:num>
  <w:num w:numId="2">
    <w:abstractNumId w:val="17"/>
  </w:num>
  <w:num w:numId="3">
    <w:abstractNumId w:val="6"/>
  </w:num>
  <w:num w:numId="4">
    <w:abstractNumId w:val="14"/>
  </w:num>
  <w:num w:numId="5">
    <w:abstractNumId w:val="0"/>
  </w:num>
  <w:num w:numId="6">
    <w:abstractNumId w:val="24"/>
  </w:num>
  <w:num w:numId="7">
    <w:abstractNumId w:val="25"/>
  </w:num>
  <w:num w:numId="8">
    <w:abstractNumId w:val="26"/>
  </w:num>
  <w:num w:numId="9">
    <w:abstractNumId w:val="16"/>
  </w:num>
  <w:num w:numId="10">
    <w:abstractNumId w:val="7"/>
  </w:num>
  <w:num w:numId="11">
    <w:abstractNumId w:val="8"/>
  </w:num>
  <w:num w:numId="12">
    <w:abstractNumId w:val="23"/>
  </w:num>
  <w:num w:numId="13">
    <w:abstractNumId w:val="21"/>
  </w:num>
  <w:num w:numId="14">
    <w:abstractNumId w:val="18"/>
  </w:num>
  <w:num w:numId="15">
    <w:abstractNumId w:val="12"/>
  </w:num>
  <w:num w:numId="16">
    <w:abstractNumId w:val="3"/>
  </w:num>
  <w:num w:numId="17">
    <w:abstractNumId w:val="5"/>
  </w:num>
  <w:num w:numId="18">
    <w:abstractNumId w:val="13"/>
  </w:num>
  <w:num w:numId="19">
    <w:abstractNumId w:val="10"/>
  </w:num>
  <w:num w:numId="20">
    <w:abstractNumId w:val="22"/>
  </w:num>
  <w:num w:numId="21">
    <w:abstractNumId w:val="11"/>
  </w:num>
  <w:num w:numId="22">
    <w:abstractNumId w:val="9"/>
  </w:num>
  <w:num w:numId="23">
    <w:abstractNumId w:val="2"/>
  </w:num>
  <w:num w:numId="24">
    <w:abstractNumId w:val="15"/>
  </w:num>
  <w:num w:numId="25">
    <w:abstractNumId w:val="1"/>
  </w:num>
  <w:num w:numId="26">
    <w:abstractNumId w:val="4"/>
  </w:num>
  <w:num w:numId="2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7F38"/>
    <w:rsid w:val="000228F8"/>
    <w:rsid w:val="00023EAD"/>
    <w:rsid w:val="00024AE9"/>
    <w:rsid w:val="0003464C"/>
    <w:rsid w:val="0003520B"/>
    <w:rsid w:val="00037498"/>
    <w:rsid w:val="00046407"/>
    <w:rsid w:val="00057C89"/>
    <w:rsid w:val="00063EAD"/>
    <w:rsid w:val="00067330"/>
    <w:rsid w:val="00071C0B"/>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5BE3"/>
    <w:rsid w:val="000D764C"/>
    <w:rsid w:val="000E12B3"/>
    <w:rsid w:val="000F2D60"/>
    <w:rsid w:val="000F3AF6"/>
    <w:rsid w:val="000F3C9A"/>
    <w:rsid w:val="000F6061"/>
    <w:rsid w:val="00102E69"/>
    <w:rsid w:val="00107559"/>
    <w:rsid w:val="00110F36"/>
    <w:rsid w:val="0011419F"/>
    <w:rsid w:val="00121D44"/>
    <w:rsid w:val="00131E38"/>
    <w:rsid w:val="00133709"/>
    <w:rsid w:val="00145904"/>
    <w:rsid w:val="00167840"/>
    <w:rsid w:val="001763CC"/>
    <w:rsid w:val="00176E3C"/>
    <w:rsid w:val="001800BD"/>
    <w:rsid w:val="00184CB5"/>
    <w:rsid w:val="00185FFE"/>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D1AFC"/>
    <w:rsid w:val="002D3EA7"/>
    <w:rsid w:val="002D457E"/>
    <w:rsid w:val="002D5A50"/>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B94"/>
    <w:rsid w:val="003671EF"/>
    <w:rsid w:val="00375FD1"/>
    <w:rsid w:val="003800F3"/>
    <w:rsid w:val="003867E1"/>
    <w:rsid w:val="003917C6"/>
    <w:rsid w:val="003954C6"/>
    <w:rsid w:val="003964B5"/>
    <w:rsid w:val="003C3463"/>
    <w:rsid w:val="003C5877"/>
    <w:rsid w:val="003C5B02"/>
    <w:rsid w:val="003D5C34"/>
    <w:rsid w:val="003E1018"/>
    <w:rsid w:val="003E2094"/>
    <w:rsid w:val="003E326B"/>
    <w:rsid w:val="003E4BAA"/>
    <w:rsid w:val="003E6905"/>
    <w:rsid w:val="003E6E57"/>
    <w:rsid w:val="003F0AF3"/>
    <w:rsid w:val="003F315D"/>
    <w:rsid w:val="003F7242"/>
    <w:rsid w:val="00405216"/>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C10D1"/>
    <w:rsid w:val="004C1175"/>
    <w:rsid w:val="004C1F58"/>
    <w:rsid w:val="004C36DB"/>
    <w:rsid w:val="004C435E"/>
    <w:rsid w:val="004D131A"/>
    <w:rsid w:val="004D31EC"/>
    <w:rsid w:val="004E2AE5"/>
    <w:rsid w:val="004E5966"/>
    <w:rsid w:val="004F1261"/>
    <w:rsid w:val="0050641D"/>
    <w:rsid w:val="005065B9"/>
    <w:rsid w:val="00510CF9"/>
    <w:rsid w:val="00521401"/>
    <w:rsid w:val="00526C01"/>
    <w:rsid w:val="00530B95"/>
    <w:rsid w:val="00531BE3"/>
    <w:rsid w:val="00531C3D"/>
    <w:rsid w:val="005369D7"/>
    <w:rsid w:val="00544072"/>
    <w:rsid w:val="00550AFC"/>
    <w:rsid w:val="00555F51"/>
    <w:rsid w:val="005565AC"/>
    <w:rsid w:val="005609DA"/>
    <w:rsid w:val="00564E3C"/>
    <w:rsid w:val="00575727"/>
    <w:rsid w:val="005773F7"/>
    <w:rsid w:val="00581B4A"/>
    <w:rsid w:val="005826E6"/>
    <w:rsid w:val="005833C6"/>
    <w:rsid w:val="005845F6"/>
    <w:rsid w:val="0058734A"/>
    <w:rsid w:val="0059649C"/>
    <w:rsid w:val="005A28B9"/>
    <w:rsid w:val="005A2AEF"/>
    <w:rsid w:val="005B4A7B"/>
    <w:rsid w:val="005B6573"/>
    <w:rsid w:val="005B6E40"/>
    <w:rsid w:val="005C47E6"/>
    <w:rsid w:val="005D1F4D"/>
    <w:rsid w:val="005D6B8F"/>
    <w:rsid w:val="005E2E2D"/>
    <w:rsid w:val="005E44FA"/>
    <w:rsid w:val="005F33CC"/>
    <w:rsid w:val="005F575E"/>
    <w:rsid w:val="006005B6"/>
    <w:rsid w:val="00601986"/>
    <w:rsid w:val="006021CF"/>
    <w:rsid w:val="00602B50"/>
    <w:rsid w:val="00603771"/>
    <w:rsid w:val="006047A9"/>
    <w:rsid w:val="00607334"/>
    <w:rsid w:val="006123C0"/>
    <w:rsid w:val="006174B7"/>
    <w:rsid w:val="0062578D"/>
    <w:rsid w:val="00630891"/>
    <w:rsid w:val="00634396"/>
    <w:rsid w:val="006454E2"/>
    <w:rsid w:val="00647FF3"/>
    <w:rsid w:val="006505C2"/>
    <w:rsid w:val="0065144E"/>
    <w:rsid w:val="0065719B"/>
    <w:rsid w:val="0066230E"/>
    <w:rsid w:val="00663E64"/>
    <w:rsid w:val="00666BE5"/>
    <w:rsid w:val="00671A91"/>
    <w:rsid w:val="00676800"/>
    <w:rsid w:val="0068293A"/>
    <w:rsid w:val="00690BCC"/>
    <w:rsid w:val="00691C01"/>
    <w:rsid w:val="0069467B"/>
    <w:rsid w:val="006A0424"/>
    <w:rsid w:val="006A18AF"/>
    <w:rsid w:val="006A3D81"/>
    <w:rsid w:val="006A631C"/>
    <w:rsid w:val="006C0CCC"/>
    <w:rsid w:val="006C747D"/>
    <w:rsid w:val="006D38E2"/>
    <w:rsid w:val="006D4E80"/>
    <w:rsid w:val="006E7E0D"/>
    <w:rsid w:val="006F3A57"/>
    <w:rsid w:val="006F4B1F"/>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41F8"/>
    <w:rsid w:val="007610AB"/>
    <w:rsid w:val="00782C22"/>
    <w:rsid w:val="00784BFB"/>
    <w:rsid w:val="007862E9"/>
    <w:rsid w:val="00790C50"/>
    <w:rsid w:val="007967D9"/>
    <w:rsid w:val="007A0C17"/>
    <w:rsid w:val="007A0D4E"/>
    <w:rsid w:val="007A73AA"/>
    <w:rsid w:val="007A782D"/>
    <w:rsid w:val="007B4768"/>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50021"/>
    <w:rsid w:val="0096110F"/>
    <w:rsid w:val="00975299"/>
    <w:rsid w:val="009768FB"/>
    <w:rsid w:val="0098143F"/>
    <w:rsid w:val="00983315"/>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B7B1F"/>
    <w:rsid w:val="00AC54AF"/>
    <w:rsid w:val="00AC620E"/>
    <w:rsid w:val="00AC6C96"/>
    <w:rsid w:val="00AD0ADD"/>
    <w:rsid w:val="00AE0BD1"/>
    <w:rsid w:val="00AE4E69"/>
    <w:rsid w:val="00AE5C01"/>
    <w:rsid w:val="00AF2993"/>
    <w:rsid w:val="00B10612"/>
    <w:rsid w:val="00B20F0E"/>
    <w:rsid w:val="00B21AB0"/>
    <w:rsid w:val="00B21AD7"/>
    <w:rsid w:val="00B22ADF"/>
    <w:rsid w:val="00B24DE7"/>
    <w:rsid w:val="00B3544D"/>
    <w:rsid w:val="00B35EB8"/>
    <w:rsid w:val="00B435F5"/>
    <w:rsid w:val="00B43660"/>
    <w:rsid w:val="00B51B31"/>
    <w:rsid w:val="00B614DF"/>
    <w:rsid w:val="00B634A7"/>
    <w:rsid w:val="00B7051F"/>
    <w:rsid w:val="00B71DBF"/>
    <w:rsid w:val="00B77FBE"/>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C6A0D"/>
    <w:rsid w:val="00BD577F"/>
    <w:rsid w:val="00BE1BAD"/>
    <w:rsid w:val="00BE3234"/>
    <w:rsid w:val="00BE4329"/>
    <w:rsid w:val="00BE7166"/>
    <w:rsid w:val="00BF043E"/>
    <w:rsid w:val="00BF1C9C"/>
    <w:rsid w:val="00BF1F13"/>
    <w:rsid w:val="00BF25EA"/>
    <w:rsid w:val="00BF2D82"/>
    <w:rsid w:val="00BF698D"/>
    <w:rsid w:val="00C04B92"/>
    <w:rsid w:val="00C0530C"/>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paragraph" w:styleId="Ttulo3">
    <w:name w:val="heading 3"/>
    <w:basedOn w:val="Normal"/>
    <w:next w:val="Normal"/>
    <w:link w:val="Ttulo3Car"/>
    <w:uiPriority w:val="9"/>
    <w:unhideWhenUsed/>
    <w:qFormat/>
    <w:rsid w:val="00185FFE"/>
    <w:pPr>
      <w:keepNext/>
      <w:keepLines/>
      <w:spacing w:after="20" w:line="360" w:lineRule="auto"/>
      <w:jc w:val="both"/>
      <w:outlineLvl w:val="2"/>
    </w:pPr>
    <w:rPr>
      <w:rFonts w:ascii="Mestiza" w:eastAsiaTheme="majorEastAsia" w:hAnsi="Mestiza" w:cstheme="majorBidi"/>
      <w:color w:val="651D3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customStyle="1" w:styleId="Ttulo3Car">
    <w:name w:val="Título 3 Car"/>
    <w:basedOn w:val="Fuentedeprrafopredeter"/>
    <w:link w:val="Ttulo3"/>
    <w:uiPriority w:val="9"/>
    <w:rsid w:val="00185FFE"/>
    <w:rPr>
      <w:rFonts w:ascii="Mestiza" w:eastAsiaTheme="majorEastAsia" w:hAnsi="Mestiza" w:cstheme="majorBidi"/>
      <w:color w:val="651D3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octor_inzunza@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rge.gameros@sinalo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BE715-9040-4DA7-8517-021F1B92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8</TotalTime>
  <Pages>6</Pages>
  <Words>1746</Words>
  <Characters>9605</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4</cp:revision>
  <cp:lastPrinted>2022-06-17T19:35:00Z</cp:lastPrinted>
  <dcterms:created xsi:type="dcterms:W3CDTF">2022-11-25T19:43:00Z</dcterms:created>
  <dcterms:modified xsi:type="dcterms:W3CDTF">2022-12-06T19:13:00Z</dcterms:modified>
</cp:coreProperties>
</file>